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00" w:rsidRPr="00DA5100" w:rsidRDefault="00DA5100" w:rsidP="00DA5100">
      <w:pPr>
        <w:shd w:val="clear" w:color="auto" w:fill="FFFFFF"/>
        <w:spacing w:after="0"/>
        <w:ind w:left="-570" w:firstLine="567"/>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ПАМ'ЯТКА</w:t>
      </w:r>
    </w:p>
    <w:p w:rsidR="00DA5100" w:rsidRPr="00DA5100" w:rsidRDefault="00DA5100" w:rsidP="00DA5100">
      <w:pPr>
        <w:shd w:val="clear" w:color="auto" w:fill="FFFFFF"/>
        <w:spacing w:after="0"/>
        <w:ind w:left="-570" w:firstLine="567"/>
        <w:jc w:val="center"/>
        <w:rPr>
          <w:rFonts w:ascii="Arial" w:eastAsia="Times New Roman" w:hAnsi="Arial" w:cs="Arial"/>
          <w:caps/>
          <w:sz w:val="24"/>
          <w:szCs w:val="24"/>
          <w:lang w:eastAsia="uk-UA"/>
        </w:rPr>
      </w:pPr>
      <w:r w:rsidRPr="00DA5100">
        <w:rPr>
          <w:rFonts w:eastAsia="Times New Roman" w:cs="Times New Roman"/>
          <w:b/>
          <w:bCs/>
          <w:caps/>
          <w:sz w:val="24"/>
          <w:szCs w:val="24"/>
          <w:bdr w:val="none" w:sz="0" w:space="0" w:color="auto" w:frame="1"/>
          <w:lang w:eastAsia="uk-UA"/>
        </w:rPr>
        <w:t>щодо загрози використання здобувачів освіти у вчиненні протиправних дій за ст. 113 «Диверсія» КК України.</w:t>
      </w:r>
    </w:p>
    <w:p w:rsidR="00DA5100" w:rsidRPr="00DA5100" w:rsidRDefault="00DA5100" w:rsidP="00DA5100">
      <w:pPr>
        <w:shd w:val="clear" w:color="auto" w:fill="FFFFFF"/>
        <w:spacing w:after="0"/>
        <w:ind w:left="-570" w:firstLine="567"/>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left="-570" w:firstLine="567"/>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Алгоритм вербування підлітків</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 xml:space="preserve">Найчастіше для підпалів авто військовослужбовців ЗСУ або іншого державного майна шукають «виконавців», які не досягли 18-ти </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xml:space="preserve">річного віку, через оголошення про роботу в телеграм-каналах з пропозиціями заробити швидкі гроші в сумі від 10000 грн. до 60000 грн. Спочатку спецслужби </w:t>
      </w:r>
      <w:proofErr w:type="spellStart"/>
      <w:r w:rsidRPr="00DA5100">
        <w:rPr>
          <w:rFonts w:eastAsia="Times New Roman" w:cs="Times New Roman"/>
          <w:sz w:val="24"/>
          <w:szCs w:val="24"/>
          <w:bdr w:val="none" w:sz="0" w:space="0" w:color="auto" w:frame="1"/>
          <w:lang w:eastAsia="uk-UA"/>
        </w:rPr>
        <w:t>рф</w:t>
      </w:r>
      <w:proofErr w:type="spellEnd"/>
      <w:r w:rsidRPr="00DA5100">
        <w:rPr>
          <w:rFonts w:eastAsia="Times New Roman" w:cs="Times New Roman"/>
          <w:sz w:val="24"/>
          <w:szCs w:val="24"/>
          <w:bdr w:val="none" w:sz="0" w:space="0" w:color="auto" w:frame="1"/>
          <w:lang w:eastAsia="uk-UA"/>
        </w:rPr>
        <w:t xml:space="preserve"> пропонують зробити якусь «маленьку роботу» (зробити надписи на стінах будинків, сфотографувати військову машину тощо) за невелику оплату.</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 xml:space="preserve">Після виконання «перевірочного завдання», куратори з </w:t>
      </w:r>
      <w:proofErr w:type="spellStart"/>
      <w:r w:rsidRPr="00DA5100">
        <w:rPr>
          <w:rFonts w:eastAsia="Times New Roman" w:cs="Times New Roman"/>
          <w:sz w:val="24"/>
          <w:szCs w:val="24"/>
          <w:bdr w:val="none" w:sz="0" w:space="0" w:color="auto" w:frame="1"/>
          <w:lang w:eastAsia="uk-UA"/>
        </w:rPr>
        <w:t>рф</w:t>
      </w:r>
      <w:proofErr w:type="spellEnd"/>
      <w:r w:rsidRPr="00DA5100">
        <w:rPr>
          <w:rFonts w:eastAsia="Times New Roman" w:cs="Times New Roman"/>
          <w:sz w:val="24"/>
          <w:szCs w:val="24"/>
          <w:bdr w:val="none" w:sz="0" w:space="0" w:color="auto" w:frame="1"/>
          <w:lang w:eastAsia="uk-UA"/>
        </w:rPr>
        <w:t xml:space="preserve"> пропонують малолітнім особам</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xml:space="preserve"> приступити до основного завдання </w:t>
      </w:r>
      <w:r w:rsidR="00DC7035">
        <w:rPr>
          <w:rFonts w:eastAsia="Times New Roman" w:cs="Times New Roman"/>
          <w:sz w:val="24"/>
          <w:szCs w:val="24"/>
          <w:bdr w:val="none" w:sz="0" w:space="0" w:color="auto" w:frame="1"/>
          <w:lang w:eastAsia="uk-UA"/>
        </w:rPr>
        <w:t>–</w:t>
      </w:r>
      <w:r w:rsidRPr="00DA5100">
        <w:rPr>
          <w:rFonts w:eastAsia="Times New Roman" w:cs="Times New Roman"/>
          <w:sz w:val="24"/>
          <w:szCs w:val="24"/>
          <w:bdr w:val="none" w:sz="0" w:space="0" w:color="auto" w:frame="1"/>
          <w:lang w:eastAsia="uk-UA"/>
        </w:rPr>
        <w:t xml:space="preserve"> підпалу</w:t>
      </w:r>
      <w:r w:rsidR="00DC7035">
        <w:rPr>
          <w:rFonts w:eastAsia="Times New Roman" w:cs="Times New Roman"/>
          <w:sz w:val="24"/>
          <w:szCs w:val="24"/>
          <w:bdr w:val="none" w:sz="0" w:space="0" w:color="auto" w:frame="1"/>
          <w:lang w:eastAsia="uk-UA"/>
        </w:rPr>
        <w:t xml:space="preserve"> </w:t>
      </w:r>
      <w:proofErr w:type="spellStart"/>
      <w:r w:rsidRPr="00DA5100">
        <w:rPr>
          <w:rFonts w:eastAsia="Times New Roman" w:cs="Times New Roman"/>
          <w:sz w:val="24"/>
          <w:szCs w:val="24"/>
          <w:bdr w:val="none" w:sz="0" w:space="0" w:color="auto" w:frame="1"/>
          <w:lang w:eastAsia="uk-UA"/>
        </w:rPr>
        <w:t>автівок</w:t>
      </w:r>
      <w:proofErr w:type="spellEnd"/>
      <w:r w:rsidRPr="00DA5100">
        <w:rPr>
          <w:rFonts w:eastAsia="Times New Roman" w:cs="Times New Roman"/>
          <w:sz w:val="24"/>
          <w:szCs w:val="24"/>
          <w:bdr w:val="none" w:sz="0" w:space="0" w:color="auto" w:frame="1"/>
          <w:lang w:eastAsia="uk-UA"/>
        </w:rPr>
        <w:t xml:space="preserve"> та іншого державного майна. Однією з основних вимог виконання вказаної роботи – зйомка на відеокамеру.</w:t>
      </w:r>
      <w:r w:rsidR="00103C16">
        <w:rPr>
          <w:rFonts w:eastAsia="Times New Roman" w:cs="Times New Roman"/>
          <w:sz w:val="24"/>
          <w:szCs w:val="24"/>
          <w:bdr w:val="none" w:sz="0" w:space="0" w:color="auto" w:frame="1"/>
          <w:lang w:eastAsia="uk-UA"/>
        </w:rPr>
        <w:t xml:space="preserve"> </w:t>
      </w:r>
    </w:p>
    <w:p w:rsidR="00DA5100" w:rsidRPr="00DA5100" w:rsidRDefault="00DA5100" w:rsidP="00DA5100">
      <w:pPr>
        <w:shd w:val="clear" w:color="auto" w:fill="FFFFFF"/>
        <w:spacing w:after="0"/>
        <w:ind w:firstLine="709"/>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firstLine="709"/>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Алгоритм проведення оплати за вчинення протиправних дій</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 xml:space="preserve">Куратори з </w:t>
      </w:r>
      <w:proofErr w:type="spellStart"/>
      <w:r w:rsidRPr="00DA5100">
        <w:rPr>
          <w:rFonts w:eastAsia="Times New Roman" w:cs="Times New Roman"/>
          <w:sz w:val="24"/>
          <w:szCs w:val="24"/>
          <w:bdr w:val="none" w:sz="0" w:space="0" w:color="auto" w:frame="1"/>
          <w:lang w:eastAsia="uk-UA"/>
        </w:rPr>
        <w:t>рф</w:t>
      </w:r>
      <w:proofErr w:type="spellEnd"/>
      <w:r w:rsidRPr="00DA5100">
        <w:rPr>
          <w:rFonts w:eastAsia="Times New Roman" w:cs="Times New Roman"/>
          <w:sz w:val="24"/>
          <w:szCs w:val="24"/>
          <w:bdr w:val="none" w:sz="0" w:space="0" w:color="auto" w:frame="1"/>
          <w:lang w:eastAsia="uk-UA"/>
        </w:rPr>
        <w:t xml:space="preserve"> частіше всього надсилають кошти на картки українських банків «А-банк» та «</w:t>
      </w:r>
      <w:proofErr w:type="spellStart"/>
      <w:r w:rsidRPr="00DA5100">
        <w:rPr>
          <w:rFonts w:eastAsia="Times New Roman" w:cs="Times New Roman"/>
          <w:sz w:val="24"/>
          <w:szCs w:val="24"/>
          <w:bdr w:val="none" w:sz="0" w:space="0" w:color="auto" w:frame="1"/>
          <w:lang w:eastAsia="uk-UA"/>
        </w:rPr>
        <w:t>Монобанк</w:t>
      </w:r>
      <w:proofErr w:type="spellEnd"/>
      <w:r w:rsidRPr="00DA5100">
        <w:rPr>
          <w:rFonts w:eastAsia="Times New Roman" w:cs="Times New Roman"/>
          <w:sz w:val="24"/>
          <w:szCs w:val="24"/>
          <w:bdr w:val="none" w:sz="0" w:space="0" w:color="auto" w:frame="1"/>
          <w:lang w:eastAsia="uk-UA"/>
        </w:rPr>
        <w:t>». В разі відсутності карток у малолітніх</w:t>
      </w:r>
      <w:bookmarkStart w:id="0" w:name="_GoBack"/>
      <w:bookmarkEnd w:id="0"/>
      <w:r w:rsidRPr="00DA5100">
        <w:rPr>
          <w:rFonts w:eastAsia="Times New Roman" w:cs="Times New Roman"/>
          <w:sz w:val="24"/>
          <w:szCs w:val="24"/>
          <w:bdr w:val="none" w:sz="0" w:space="0" w:color="auto" w:frame="1"/>
          <w:lang w:eastAsia="uk-UA"/>
        </w:rPr>
        <w:t xml:space="preserve"> осіб, останні пропонують відкрити </w:t>
      </w:r>
      <w:proofErr w:type="spellStart"/>
      <w:r w:rsidRPr="00DA5100">
        <w:rPr>
          <w:rFonts w:eastAsia="Times New Roman" w:cs="Times New Roman"/>
          <w:sz w:val="24"/>
          <w:szCs w:val="24"/>
          <w:bdr w:val="none" w:sz="0" w:space="0" w:color="auto" w:frame="1"/>
          <w:lang w:eastAsia="uk-UA"/>
        </w:rPr>
        <w:t>онлайн</w:t>
      </w:r>
      <w:proofErr w:type="spellEnd"/>
      <w:r w:rsidRPr="00DA5100">
        <w:rPr>
          <w:rFonts w:eastAsia="Times New Roman" w:cs="Times New Roman"/>
          <w:sz w:val="24"/>
          <w:szCs w:val="24"/>
          <w:bdr w:val="none" w:sz="0" w:space="0" w:color="auto" w:frame="1"/>
          <w:lang w:eastAsia="uk-UA"/>
        </w:rPr>
        <w:t xml:space="preserve"> гаманці «</w:t>
      </w:r>
      <w:proofErr w:type="spellStart"/>
      <w:r w:rsidRPr="00DA5100">
        <w:rPr>
          <w:rFonts w:eastAsia="Times New Roman" w:cs="Times New Roman"/>
          <w:sz w:val="24"/>
          <w:szCs w:val="24"/>
          <w:bdr w:val="none" w:sz="0" w:space="0" w:color="auto" w:frame="1"/>
          <w:lang w:eastAsia="uk-UA"/>
        </w:rPr>
        <w:t>Paysera</w:t>
      </w:r>
      <w:proofErr w:type="spellEnd"/>
      <w:r w:rsidRPr="00DA5100">
        <w:rPr>
          <w:rFonts w:eastAsia="Times New Roman" w:cs="Times New Roman"/>
          <w:sz w:val="24"/>
          <w:szCs w:val="24"/>
          <w:bdr w:val="none" w:sz="0" w:space="0" w:color="auto" w:frame="1"/>
          <w:lang w:eastAsia="uk-UA"/>
        </w:rPr>
        <w:t>», «</w:t>
      </w:r>
      <w:proofErr w:type="spellStart"/>
      <w:r w:rsidRPr="00DA5100">
        <w:rPr>
          <w:rFonts w:eastAsia="Times New Roman" w:cs="Times New Roman"/>
          <w:sz w:val="24"/>
          <w:szCs w:val="24"/>
          <w:bdr w:val="none" w:sz="0" w:space="0" w:color="auto" w:frame="1"/>
          <w:lang w:eastAsia="uk-UA"/>
        </w:rPr>
        <w:t>Payoneer</w:t>
      </w:r>
      <w:proofErr w:type="spellEnd"/>
      <w:r w:rsidRPr="00DA5100">
        <w:rPr>
          <w:rFonts w:eastAsia="Times New Roman" w:cs="Times New Roman"/>
          <w:sz w:val="24"/>
          <w:szCs w:val="24"/>
          <w:bdr w:val="none" w:sz="0" w:space="0" w:color="auto" w:frame="1"/>
          <w:lang w:eastAsia="uk-UA"/>
        </w:rPr>
        <w:t>»,</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xml:space="preserve"> «Global24», «</w:t>
      </w:r>
      <w:proofErr w:type="spellStart"/>
      <w:r w:rsidRPr="00DA5100">
        <w:rPr>
          <w:rFonts w:eastAsia="Times New Roman" w:cs="Times New Roman"/>
          <w:sz w:val="24"/>
          <w:szCs w:val="24"/>
          <w:bdr w:val="none" w:sz="0" w:space="0" w:color="auto" w:frame="1"/>
          <w:lang w:eastAsia="uk-UA"/>
        </w:rPr>
        <w:t>Payeer</w:t>
      </w:r>
      <w:proofErr w:type="spellEnd"/>
      <w:r w:rsidRPr="00DA5100">
        <w:rPr>
          <w:rFonts w:eastAsia="Times New Roman" w:cs="Times New Roman"/>
          <w:sz w:val="24"/>
          <w:szCs w:val="24"/>
          <w:bdr w:val="none" w:sz="0" w:space="0" w:color="auto" w:frame="1"/>
          <w:lang w:eastAsia="uk-UA"/>
        </w:rPr>
        <w:t>», «</w:t>
      </w:r>
      <w:proofErr w:type="spellStart"/>
      <w:r w:rsidRPr="00DA5100">
        <w:rPr>
          <w:rFonts w:eastAsia="Times New Roman" w:cs="Times New Roman"/>
          <w:sz w:val="24"/>
          <w:szCs w:val="24"/>
          <w:bdr w:val="none" w:sz="0" w:space="0" w:color="auto" w:frame="1"/>
          <w:lang w:eastAsia="uk-UA"/>
        </w:rPr>
        <w:t>PayPal</w:t>
      </w:r>
      <w:proofErr w:type="spellEnd"/>
      <w:r w:rsidRPr="00DA5100">
        <w:rPr>
          <w:rFonts w:eastAsia="Times New Roman" w:cs="Times New Roman"/>
          <w:sz w:val="24"/>
          <w:szCs w:val="24"/>
          <w:bdr w:val="none" w:sz="0" w:space="0" w:color="auto" w:frame="1"/>
          <w:lang w:eastAsia="uk-UA"/>
        </w:rPr>
        <w:t>» та інші.</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 xml:space="preserve">В разі відсутності карток та </w:t>
      </w:r>
      <w:proofErr w:type="spellStart"/>
      <w:r w:rsidRPr="00DA5100">
        <w:rPr>
          <w:rFonts w:eastAsia="Times New Roman" w:cs="Times New Roman"/>
          <w:sz w:val="24"/>
          <w:szCs w:val="24"/>
          <w:bdr w:val="none" w:sz="0" w:space="0" w:color="auto" w:frame="1"/>
          <w:lang w:eastAsia="uk-UA"/>
        </w:rPr>
        <w:t>онлайн</w:t>
      </w:r>
      <w:proofErr w:type="spellEnd"/>
      <w:r w:rsidRPr="00DA5100">
        <w:rPr>
          <w:rFonts w:eastAsia="Times New Roman" w:cs="Times New Roman"/>
          <w:sz w:val="24"/>
          <w:szCs w:val="24"/>
          <w:bdr w:val="none" w:sz="0" w:space="0" w:color="auto" w:frame="1"/>
          <w:lang w:eastAsia="uk-UA"/>
        </w:rPr>
        <w:t xml:space="preserve"> гаманців або недосягнення 14-ти річного віку, представники спецслужб </w:t>
      </w:r>
      <w:proofErr w:type="spellStart"/>
      <w:r w:rsidRPr="00DA5100">
        <w:rPr>
          <w:rFonts w:eastAsia="Times New Roman" w:cs="Times New Roman"/>
          <w:sz w:val="24"/>
          <w:szCs w:val="24"/>
          <w:bdr w:val="none" w:sz="0" w:space="0" w:color="auto" w:frame="1"/>
          <w:lang w:eastAsia="uk-UA"/>
        </w:rPr>
        <w:t>рф</w:t>
      </w:r>
      <w:proofErr w:type="spellEnd"/>
      <w:r w:rsidRPr="00DA5100">
        <w:rPr>
          <w:rFonts w:eastAsia="Times New Roman" w:cs="Times New Roman"/>
          <w:sz w:val="24"/>
          <w:szCs w:val="24"/>
          <w:bdr w:val="none" w:sz="0" w:space="0" w:color="auto" w:frame="1"/>
          <w:lang w:eastAsia="uk-UA"/>
        </w:rPr>
        <w:t xml:space="preserve"> можуть надсилати оплату за виконану роботу на </w:t>
      </w:r>
      <w:proofErr w:type="spellStart"/>
      <w:r w:rsidRPr="00DA5100">
        <w:rPr>
          <w:rFonts w:eastAsia="Times New Roman" w:cs="Times New Roman"/>
          <w:sz w:val="24"/>
          <w:szCs w:val="24"/>
          <w:bdr w:val="none" w:sz="0" w:space="0" w:color="auto" w:frame="1"/>
          <w:lang w:eastAsia="uk-UA"/>
        </w:rPr>
        <w:t>криптогаманці</w:t>
      </w:r>
      <w:proofErr w:type="spellEnd"/>
      <w:r w:rsidRPr="00DA5100">
        <w:rPr>
          <w:rFonts w:eastAsia="Times New Roman" w:cs="Times New Roman"/>
          <w:sz w:val="24"/>
          <w:szCs w:val="24"/>
          <w:bdr w:val="none" w:sz="0" w:space="0" w:color="auto" w:frame="1"/>
          <w:lang w:eastAsia="uk-UA"/>
        </w:rPr>
        <w:t xml:space="preserve"> («</w:t>
      </w:r>
      <w:proofErr w:type="spellStart"/>
      <w:r w:rsidRPr="00DA5100">
        <w:rPr>
          <w:rFonts w:eastAsia="Times New Roman" w:cs="Times New Roman"/>
          <w:sz w:val="24"/>
          <w:szCs w:val="24"/>
          <w:bdr w:val="none" w:sz="0" w:space="0" w:color="auto" w:frame="1"/>
          <w:lang w:eastAsia="uk-UA"/>
        </w:rPr>
        <w:t>Exodus</w:t>
      </w:r>
      <w:proofErr w:type="spellEnd"/>
      <w:r w:rsidRPr="00DA5100">
        <w:rPr>
          <w:rFonts w:eastAsia="Times New Roman" w:cs="Times New Roman"/>
          <w:sz w:val="24"/>
          <w:szCs w:val="24"/>
          <w:bdr w:val="none" w:sz="0" w:space="0" w:color="auto" w:frame="1"/>
          <w:lang w:eastAsia="uk-UA"/>
        </w:rPr>
        <w:t>», «</w:t>
      </w:r>
      <w:proofErr w:type="spellStart"/>
      <w:r w:rsidRPr="00DA5100">
        <w:rPr>
          <w:rFonts w:eastAsia="Times New Roman" w:cs="Times New Roman"/>
          <w:sz w:val="24"/>
          <w:szCs w:val="24"/>
          <w:bdr w:val="none" w:sz="0" w:space="0" w:color="auto" w:frame="1"/>
          <w:lang w:eastAsia="uk-UA"/>
        </w:rPr>
        <w:t>Metamask</w:t>
      </w:r>
      <w:proofErr w:type="spellEnd"/>
      <w:r w:rsidRPr="00DA5100">
        <w:rPr>
          <w:rFonts w:eastAsia="Times New Roman" w:cs="Times New Roman"/>
          <w:sz w:val="24"/>
          <w:szCs w:val="24"/>
          <w:bdr w:val="none" w:sz="0" w:space="0" w:color="auto" w:frame="1"/>
          <w:lang w:eastAsia="uk-UA"/>
        </w:rPr>
        <w:t>», «</w:t>
      </w:r>
      <w:proofErr w:type="spellStart"/>
      <w:r w:rsidRPr="00DA5100">
        <w:rPr>
          <w:rFonts w:eastAsia="Times New Roman" w:cs="Times New Roman"/>
          <w:sz w:val="24"/>
          <w:szCs w:val="24"/>
          <w:bdr w:val="none" w:sz="0" w:space="0" w:color="auto" w:frame="1"/>
          <w:lang w:eastAsia="uk-UA"/>
        </w:rPr>
        <w:t>MyEtherWallet</w:t>
      </w:r>
      <w:proofErr w:type="spellEnd"/>
      <w:r w:rsidRPr="00DA5100">
        <w:rPr>
          <w:rFonts w:eastAsia="Times New Roman" w:cs="Times New Roman"/>
          <w:sz w:val="24"/>
          <w:szCs w:val="24"/>
          <w:bdr w:val="none" w:sz="0" w:space="0" w:color="auto" w:frame="1"/>
          <w:lang w:eastAsia="uk-UA"/>
        </w:rPr>
        <w:t xml:space="preserve">» та інші) в </w:t>
      </w:r>
      <w:proofErr w:type="spellStart"/>
      <w:r w:rsidRPr="00DA5100">
        <w:rPr>
          <w:rFonts w:eastAsia="Times New Roman" w:cs="Times New Roman"/>
          <w:sz w:val="24"/>
          <w:szCs w:val="24"/>
          <w:bdr w:val="none" w:sz="0" w:space="0" w:color="auto" w:frame="1"/>
          <w:lang w:eastAsia="uk-UA"/>
        </w:rPr>
        <w:t>криптовалюті</w:t>
      </w:r>
      <w:proofErr w:type="spellEnd"/>
      <w:r w:rsidRPr="00DA5100">
        <w:rPr>
          <w:rFonts w:eastAsia="Times New Roman" w:cs="Times New Roman"/>
          <w:sz w:val="24"/>
          <w:szCs w:val="24"/>
          <w:bdr w:val="none" w:sz="0" w:space="0" w:color="auto" w:frame="1"/>
          <w:lang w:eastAsia="uk-UA"/>
        </w:rPr>
        <w:t xml:space="preserve"> «</w:t>
      </w:r>
      <w:proofErr w:type="spellStart"/>
      <w:r w:rsidRPr="00DA5100">
        <w:rPr>
          <w:rFonts w:eastAsia="Times New Roman" w:cs="Times New Roman"/>
          <w:sz w:val="24"/>
          <w:szCs w:val="24"/>
          <w:bdr w:val="none" w:sz="0" w:space="0" w:color="auto" w:frame="1"/>
          <w:lang w:eastAsia="uk-UA"/>
        </w:rPr>
        <w:t>usdt</w:t>
      </w:r>
      <w:proofErr w:type="spellEnd"/>
      <w:r w:rsidRPr="00DA5100">
        <w:rPr>
          <w:rFonts w:eastAsia="Times New Roman" w:cs="Times New Roman"/>
          <w:sz w:val="24"/>
          <w:szCs w:val="24"/>
          <w:bdr w:val="none" w:sz="0" w:space="0" w:color="auto" w:frame="1"/>
          <w:lang w:eastAsia="uk-UA"/>
        </w:rPr>
        <w:t>».</w:t>
      </w:r>
    </w:p>
    <w:p w:rsidR="00DA5100" w:rsidRPr="00DA5100" w:rsidRDefault="00DA5100" w:rsidP="00DA5100">
      <w:pPr>
        <w:shd w:val="clear" w:color="auto" w:fill="FFFFFF"/>
        <w:spacing w:after="0"/>
        <w:ind w:left="-570" w:firstLine="567"/>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left="-570" w:firstLine="567"/>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Чому обирають осіб вказаної вікової категорії?</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b/>
          <w:bCs/>
          <w:i/>
          <w:iCs/>
          <w:sz w:val="24"/>
          <w:szCs w:val="24"/>
          <w:bdr w:val="none" w:sz="0" w:space="0" w:color="auto" w:frame="1"/>
          <w:lang w:eastAsia="uk-UA"/>
        </w:rPr>
        <w:t>Мета вказаних завдань</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показати, що в Україні нібито існує активне підпілля, яке в такий спосіб виступає проти загальної мобілізації в країні.</w:t>
      </w:r>
      <w:r w:rsidR="00103C16">
        <w:rPr>
          <w:rFonts w:eastAsia="Times New Roman" w:cs="Times New Roman"/>
          <w:sz w:val="24"/>
          <w:szCs w:val="24"/>
          <w:bdr w:val="none" w:sz="0" w:space="0" w:color="auto" w:frame="1"/>
          <w:lang w:eastAsia="uk-UA"/>
        </w:rPr>
        <w:t xml:space="preserve"> </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Неповнолітні більш вразливі до вербування, оскільки не можуть усвідомлювати і прораховувати наслідки своїх дій, на чому і роблять акцент російські спецслужби.</w:t>
      </w:r>
      <w:r w:rsidR="00103C16">
        <w:rPr>
          <w:rFonts w:eastAsia="Times New Roman" w:cs="Times New Roman"/>
          <w:sz w:val="24"/>
          <w:szCs w:val="24"/>
          <w:bdr w:val="none" w:sz="0" w:space="0" w:color="auto" w:frame="1"/>
          <w:lang w:eastAsia="uk-UA"/>
        </w:rPr>
        <w:t xml:space="preserve"> </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Настання відповідальності батькам та особам, які не досягли 18-ти річного віку у разі вчинення вказаного правопорушення.</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Відповідальність за вчинення вказаного правопорушення несуть особи, які досягли 14-ти річного віку та карається позбавленням волі на строк від 10 до 15 років або довічним позбавленням волі з конфіскацією майна. Крім того, вчинення неповнолітніми діянь за які передбачена кримінальна відповідальність тягне за собою накладення штрафу на батьків, або осіб, які їх замінюють, від 100 до 300 неоподаткованих мінімумів доходів громадян.</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Викриття злочинів працівниками Служби безпеки України.</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 xml:space="preserve">Статистика вказує, що працівники Служби безпеки України затримують усіх підпалювачів або одразу «по гарячих слідах» або через короткий час, а деяких викривають ще на етапі підготовки злочину. Станом на сьогодні затримано біля 150 неповнолітніх осіб, які очікують обрання запобіжного заходу або перебувають за </w:t>
      </w:r>
      <w:proofErr w:type="spellStart"/>
      <w:r w:rsidRPr="00DA5100">
        <w:rPr>
          <w:rFonts w:eastAsia="Times New Roman" w:cs="Times New Roman"/>
          <w:sz w:val="24"/>
          <w:szCs w:val="24"/>
          <w:bdr w:val="none" w:sz="0" w:space="0" w:color="auto" w:frame="1"/>
          <w:lang w:eastAsia="uk-UA"/>
        </w:rPr>
        <w:t>гратами</w:t>
      </w:r>
      <w:proofErr w:type="spellEnd"/>
      <w:r w:rsidRPr="00DA5100">
        <w:rPr>
          <w:rFonts w:eastAsia="Times New Roman" w:cs="Times New Roman"/>
          <w:sz w:val="24"/>
          <w:szCs w:val="24"/>
          <w:bdr w:val="none" w:sz="0" w:space="0" w:color="auto" w:frame="1"/>
          <w:lang w:eastAsia="uk-UA"/>
        </w:rPr>
        <w:t>.</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Злочини проти основ національної безпеки України є найбільш небезпечними посяганнями на суспільні відносини, які забезпечують державну безпеку, обороноздатність, незалежність держави, її конституційний лад. Без належної кримінально-правової охорони цих суспільних відносин неможливе нормальне функціонування держави та відповідних її інститутів. Без стабільності в суспільстві неможлива й ефективна боротьба зі злочинністю, в тому числі і з такими небезпечними злочинами, як вбивства, зґвалтування, розбої тощо.</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Тому в КК статті про відповідальність за злочини проти основ національної безпеки України подані в першому розділі Особливої частини.</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i/>
          <w:iCs/>
          <w:sz w:val="24"/>
          <w:szCs w:val="24"/>
          <w:bdr w:val="none" w:sz="0" w:space="0" w:color="auto" w:frame="1"/>
          <w:lang w:eastAsia="uk-UA"/>
        </w:rPr>
        <w:t>Національна безпека</w:t>
      </w:r>
      <w:r w:rsidR="00103C16">
        <w:rPr>
          <w:rFonts w:eastAsia="Times New Roman" w:cs="Times New Roman"/>
          <w:i/>
          <w:iCs/>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це захищеність життєво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i/>
          <w:iCs/>
          <w:sz w:val="24"/>
          <w:szCs w:val="24"/>
          <w:bdr w:val="none" w:sz="0" w:space="0" w:color="auto" w:frame="1"/>
          <w:lang w:eastAsia="uk-UA"/>
        </w:rPr>
        <w:t>Національні інтереси</w:t>
      </w:r>
      <w:r w:rsidR="00103C16">
        <w:rPr>
          <w:rFonts w:eastAsia="Times New Roman" w:cs="Times New Roman"/>
          <w:i/>
          <w:iCs/>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це життєво важливі матеріальні, інтелектуальні і духовні цінності Українського народу як носія суверенітету і єдиного джерела влади в Україні, визначальні потреби суспільства і держави, реалізація яких гарантує державний суверенітет України та її прогресивний розвиток;</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i/>
          <w:iCs/>
          <w:sz w:val="24"/>
          <w:szCs w:val="24"/>
          <w:bdr w:val="none" w:sz="0" w:space="0" w:color="auto" w:frame="1"/>
          <w:lang w:eastAsia="uk-UA"/>
        </w:rPr>
        <w:t>Загрози національній безпеці</w:t>
      </w:r>
      <w:r w:rsidR="00103C16">
        <w:rPr>
          <w:rFonts w:eastAsia="Times New Roman" w:cs="Times New Roman"/>
          <w:i/>
          <w:iCs/>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наявні та потенційно можливі явища і чинники, що створюють небезпеку життєво важливим національним інтересам України.</w:t>
      </w:r>
    </w:p>
    <w:p w:rsidR="00DA5100" w:rsidRPr="00DA5100" w:rsidRDefault="00DA5100" w:rsidP="00DA5100">
      <w:pPr>
        <w:shd w:val="clear" w:color="auto" w:fill="FFFFFF"/>
        <w:spacing w:after="0"/>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lastRenderedPageBreak/>
        <w:t>Стаття 113 КК. Диверсія</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та зруйнування або пошкодження об’єктів, які мають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епідемій, епізоотій чи епіфітотій, – карається позбавленням волі на строк від десяти до п’ятнадцяти років з конфіскацією майна або без такої.</w:t>
      </w:r>
    </w:p>
    <w:p w:rsidR="00DA5100" w:rsidRPr="00DA5100" w:rsidRDefault="00DA5100" w:rsidP="00DA5100">
      <w:pPr>
        <w:shd w:val="clear" w:color="auto" w:fill="FFFFFF"/>
        <w:spacing w:after="0"/>
        <w:ind w:firstLine="709"/>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firstLine="709"/>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Стаття 114 КК. Шпигунство</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1. Передача або збирання з метою передачі іноземній державі, іноземній організації або їх представникам відомостей, що становлять державну таємницю, якщо ці дії вчинені іноземцем або особою без громадянства, – караються позбавленням волі на строк від десяти до п’ятнадцяти років з конфіскацією майна або без такої.</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2. 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відвернене заподіяння шкоди інтересам України.</w:t>
      </w:r>
    </w:p>
    <w:p w:rsidR="00DA5100" w:rsidRPr="00DA5100" w:rsidRDefault="00DA5100" w:rsidP="00DA5100">
      <w:pPr>
        <w:shd w:val="clear" w:color="auto" w:fill="FFFFFF"/>
        <w:spacing w:after="0"/>
        <w:ind w:firstLine="709"/>
        <w:jc w:val="both"/>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firstLine="709"/>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Стаття 114-1 КК. Перешкоджання законній діяльності Збройних Сил України та інших військових формувань</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1. Перешкоджання законній діяльності Збройних Сил України та інших військових формувань в особливий період – карається позбавленням волі на строк від п’яти до восьми років.</w:t>
      </w:r>
    </w:p>
    <w:p w:rsidR="00DA5100" w:rsidRPr="00DA5100" w:rsidRDefault="00DA5100" w:rsidP="00DA5100">
      <w:pPr>
        <w:shd w:val="clear" w:color="auto" w:fill="FFFFFF"/>
        <w:spacing w:after="0"/>
        <w:ind w:firstLine="709"/>
        <w:jc w:val="both"/>
        <w:rPr>
          <w:rFonts w:ascii="Arial" w:eastAsia="Times New Roman" w:hAnsi="Arial" w:cs="Arial"/>
          <w:sz w:val="24"/>
          <w:szCs w:val="24"/>
          <w:lang w:eastAsia="uk-UA"/>
        </w:rPr>
      </w:pPr>
      <w:r w:rsidRPr="00DA5100">
        <w:rPr>
          <w:rFonts w:eastAsia="Times New Roman" w:cs="Times New Roman"/>
          <w:sz w:val="24"/>
          <w:szCs w:val="24"/>
          <w:bdr w:val="none" w:sz="0" w:space="0" w:color="auto" w:frame="1"/>
          <w:lang w:eastAsia="uk-UA"/>
        </w:rPr>
        <w:t>2. Те саме діяння, яке призвело до загибелі людей або інших тяжких наслідків, – карається позбавленням волі на строк від восьми до п’ятнадцяти років.</w:t>
      </w:r>
    </w:p>
    <w:p w:rsidR="00DA5100" w:rsidRPr="00DA5100" w:rsidRDefault="00DA5100" w:rsidP="00DA5100">
      <w:pPr>
        <w:shd w:val="clear" w:color="auto" w:fill="FFFFFF"/>
        <w:spacing w:after="0"/>
        <w:ind w:firstLine="709"/>
        <w:jc w:val="center"/>
        <w:rPr>
          <w:rFonts w:eastAsia="Times New Roman" w:cs="Times New Roman"/>
          <w:b/>
          <w:bCs/>
          <w:sz w:val="24"/>
          <w:szCs w:val="24"/>
          <w:bdr w:val="none" w:sz="0" w:space="0" w:color="auto" w:frame="1"/>
          <w:lang w:eastAsia="uk-UA"/>
        </w:rPr>
      </w:pPr>
    </w:p>
    <w:p w:rsidR="00DA5100" w:rsidRPr="00DA5100" w:rsidRDefault="00DA5100" w:rsidP="00DA5100">
      <w:pPr>
        <w:shd w:val="clear" w:color="auto" w:fill="FFFFFF"/>
        <w:spacing w:after="0"/>
        <w:ind w:firstLine="709"/>
        <w:jc w:val="center"/>
        <w:rPr>
          <w:rFonts w:ascii="Arial" w:eastAsia="Times New Roman" w:hAnsi="Arial" w:cs="Arial"/>
          <w:sz w:val="24"/>
          <w:szCs w:val="24"/>
          <w:lang w:eastAsia="uk-UA"/>
        </w:rPr>
      </w:pPr>
      <w:r w:rsidRPr="00DA5100">
        <w:rPr>
          <w:rFonts w:eastAsia="Times New Roman" w:cs="Times New Roman"/>
          <w:b/>
          <w:bCs/>
          <w:sz w:val="24"/>
          <w:szCs w:val="24"/>
          <w:bdr w:val="none" w:sz="0" w:space="0" w:color="auto" w:frame="1"/>
          <w:lang w:eastAsia="uk-UA"/>
        </w:rPr>
        <w:t>До неповнолітніх, визнаних винними у вчиненні злочину, суд</w:t>
      </w:r>
      <w:r w:rsidR="00103C16">
        <w:rPr>
          <w:rFonts w:eastAsia="Times New Roman" w:cs="Times New Roman"/>
          <w:b/>
          <w:bCs/>
          <w:sz w:val="24"/>
          <w:szCs w:val="24"/>
          <w:bdr w:val="none" w:sz="0" w:space="0" w:color="auto" w:frame="1"/>
          <w:lang w:eastAsia="uk-UA"/>
        </w:rPr>
        <w:t xml:space="preserve">ом можуть бути застосовані такі </w:t>
      </w:r>
      <w:r w:rsidRPr="00DA5100">
        <w:rPr>
          <w:rFonts w:eastAsia="Times New Roman" w:cs="Times New Roman"/>
          <w:b/>
          <w:bCs/>
          <w:sz w:val="24"/>
          <w:szCs w:val="24"/>
          <w:bdr w:val="none" w:sz="0" w:space="0" w:color="auto" w:frame="1"/>
          <w:lang w:eastAsia="uk-UA"/>
        </w:rPr>
        <w:t>види покарань:</w:t>
      </w:r>
    </w:p>
    <w:p w:rsidR="00DA5100" w:rsidRPr="00DA5100" w:rsidRDefault="00103C16" w:rsidP="00DA5100">
      <w:pPr>
        <w:numPr>
          <w:ilvl w:val="0"/>
          <w:numId w:val="6"/>
        </w:numPr>
        <w:shd w:val="clear" w:color="auto" w:fill="FFFFFF"/>
        <w:spacing w:after="0"/>
        <w:ind w:left="993" w:right="225"/>
        <w:jc w:val="both"/>
        <w:rPr>
          <w:rFonts w:ascii="Arial" w:eastAsia="Times New Roman" w:hAnsi="Arial" w:cs="Arial"/>
          <w:sz w:val="24"/>
          <w:szCs w:val="24"/>
          <w:lang w:eastAsia="uk-UA"/>
        </w:rPr>
      </w:pPr>
      <w:hyperlink r:id="rId6" w:history="1">
        <w:r w:rsidR="00DA5100" w:rsidRPr="00DA5100">
          <w:rPr>
            <w:rFonts w:eastAsia="Times New Roman" w:cs="Times New Roman"/>
            <w:sz w:val="24"/>
            <w:szCs w:val="24"/>
            <w:u w:val="single"/>
            <w:bdr w:val="none" w:sz="0" w:space="0" w:color="auto" w:frame="1"/>
            <w:lang w:eastAsia="uk-UA"/>
          </w:rPr>
          <w:t>штраф</w:t>
        </w:r>
      </w:hyperlink>
      <w:r>
        <w:rPr>
          <w:rFonts w:eastAsia="Times New Roman" w:cs="Times New Roman"/>
          <w:sz w:val="24"/>
          <w:szCs w:val="24"/>
          <w:bdr w:val="none" w:sz="0" w:space="0" w:color="auto" w:frame="1"/>
          <w:lang w:eastAsia="uk-UA"/>
        </w:rPr>
        <w:t xml:space="preserve"> </w:t>
      </w:r>
      <w:r w:rsidR="00DA5100" w:rsidRPr="00DA5100">
        <w:rPr>
          <w:rFonts w:eastAsia="Times New Roman" w:cs="Times New Roman"/>
          <w:sz w:val="24"/>
          <w:szCs w:val="24"/>
          <w:bdr w:val="none" w:sz="0" w:space="0" w:color="auto" w:frame="1"/>
          <w:lang w:eastAsia="uk-UA"/>
        </w:rPr>
        <w:t>– застосовується лише до неповнолітніх, що мають самостійний дохід, власні кошти або майно, на яке може бути звернене стягнення. Розмір штрафу встановлюється судом залежно від тяжкості вчиненого злочину та з урахуванням майнового стану неповнолітнього в межах від п’ятисот встановлених законодавством неоподатковуваних мінімумів доходів громадян (</w:t>
      </w:r>
      <w:hyperlink r:id="rId7" w:history="1">
        <w:r w:rsidR="00DA5100" w:rsidRPr="00DA5100">
          <w:rPr>
            <w:rFonts w:eastAsia="Times New Roman" w:cs="Times New Roman"/>
            <w:sz w:val="24"/>
            <w:szCs w:val="24"/>
            <w:u w:val="single"/>
            <w:bdr w:val="none" w:sz="0" w:space="0" w:color="auto" w:frame="1"/>
            <w:lang w:eastAsia="uk-UA"/>
          </w:rPr>
          <w:t>стаття</w:t>
        </w:r>
      </w:hyperlink>
      <w:hyperlink r:id="rId8" w:history="1">
        <w:r>
          <w:rPr>
            <w:rFonts w:eastAsia="Times New Roman" w:cs="Times New Roman"/>
            <w:sz w:val="24"/>
            <w:szCs w:val="24"/>
            <w:u w:val="single"/>
            <w:bdr w:val="none" w:sz="0" w:space="0" w:color="auto" w:frame="1"/>
            <w:lang w:eastAsia="uk-UA"/>
          </w:rPr>
          <w:t xml:space="preserve"> </w:t>
        </w:r>
        <w:r w:rsidR="00DA5100" w:rsidRPr="00DA5100">
          <w:rPr>
            <w:rFonts w:eastAsia="Times New Roman" w:cs="Times New Roman"/>
            <w:sz w:val="24"/>
            <w:szCs w:val="24"/>
            <w:u w:val="single"/>
            <w:bdr w:val="none" w:sz="0" w:space="0" w:color="auto" w:frame="1"/>
            <w:lang w:eastAsia="uk-UA"/>
          </w:rPr>
          <w:t>99 КК</w:t>
        </w:r>
        <w:r>
          <w:rPr>
            <w:rFonts w:eastAsia="Times New Roman" w:cs="Times New Roman"/>
            <w:sz w:val="24"/>
            <w:szCs w:val="24"/>
            <w:u w:val="single"/>
            <w:bdr w:val="none" w:sz="0" w:space="0" w:color="auto" w:frame="1"/>
            <w:lang w:eastAsia="uk-UA"/>
          </w:rPr>
          <w:t xml:space="preserve"> </w:t>
        </w:r>
      </w:hyperlink>
      <w:hyperlink r:id="rId9" w:history="1">
        <w:r w:rsidR="00DA5100" w:rsidRPr="00DA5100">
          <w:rPr>
            <w:rFonts w:eastAsia="Times New Roman" w:cs="Times New Roman"/>
            <w:sz w:val="24"/>
            <w:szCs w:val="24"/>
            <w:u w:val="single"/>
            <w:bdr w:val="none" w:sz="0" w:space="0" w:color="auto" w:frame="1"/>
            <w:lang w:eastAsia="uk-UA"/>
          </w:rPr>
          <w:t>України</w:t>
        </w:r>
      </w:hyperlink>
      <w:r w:rsidR="00DA5100" w:rsidRPr="00DA5100">
        <w:rPr>
          <w:rFonts w:eastAsia="Times New Roman" w:cs="Times New Roman"/>
          <w:sz w:val="24"/>
          <w:szCs w:val="24"/>
          <w:bdr w:val="none" w:sz="0" w:space="0" w:color="auto" w:frame="1"/>
          <w:lang w:eastAsia="uk-UA"/>
        </w:rPr>
        <w:t>);</w:t>
      </w:r>
    </w:p>
    <w:p w:rsidR="00DA5100" w:rsidRPr="00DA5100" w:rsidRDefault="00DA5100" w:rsidP="00DA5100">
      <w:pPr>
        <w:numPr>
          <w:ilvl w:val="0"/>
          <w:numId w:val="6"/>
        </w:numPr>
        <w:shd w:val="clear" w:color="auto" w:fill="FFFFFF"/>
        <w:spacing w:after="0"/>
        <w:ind w:left="993" w:right="225"/>
        <w:jc w:val="both"/>
        <w:rPr>
          <w:rFonts w:ascii="Arial" w:eastAsia="Times New Roman" w:hAnsi="Arial" w:cs="Arial"/>
          <w:sz w:val="24"/>
          <w:szCs w:val="24"/>
          <w:lang w:eastAsia="uk-UA"/>
        </w:rPr>
      </w:pPr>
      <w:r w:rsidRPr="00DA5100">
        <w:rPr>
          <w:rFonts w:eastAsia="Times New Roman" w:cs="Times New Roman"/>
          <w:sz w:val="24"/>
          <w:szCs w:val="24"/>
          <w:u w:val="single"/>
          <w:bdr w:val="none" w:sz="0" w:space="0" w:color="auto" w:frame="1"/>
          <w:lang w:eastAsia="uk-UA"/>
        </w:rPr>
        <w:t>громадські роботи</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 можуть бути призначені неповнолітньому у віці від 16 до 18 років на строк від тридцяти до ста двадцяти годин і полягають у виконанні неповнолітнім робіт у вільний від навчання чи основної роботи час.</w:t>
      </w:r>
      <w:r w:rsidR="00103C16">
        <w:rPr>
          <w:rFonts w:eastAsia="Times New Roman" w:cs="Times New Roman"/>
          <w:sz w:val="24"/>
          <w:szCs w:val="24"/>
          <w:bdr w:val="none" w:sz="0" w:space="0" w:color="auto" w:frame="1"/>
          <w:lang w:eastAsia="uk-UA"/>
        </w:rPr>
        <w:t xml:space="preserve"> </w:t>
      </w:r>
      <w:r w:rsidRPr="00DA5100">
        <w:rPr>
          <w:rFonts w:eastAsia="Times New Roman" w:cs="Times New Roman"/>
          <w:sz w:val="24"/>
          <w:szCs w:val="24"/>
          <w:bdr w:val="none" w:sz="0" w:space="0" w:color="auto" w:frame="1"/>
          <w:lang w:eastAsia="uk-UA"/>
        </w:rPr>
        <w:t>Тривалість виконання даного виду покарання не може перевищувати двох годин на день (</w:t>
      </w:r>
      <w:hyperlink r:id="rId10" w:history="1">
        <w:r w:rsidRPr="00DA5100">
          <w:rPr>
            <w:rFonts w:eastAsia="Times New Roman" w:cs="Times New Roman"/>
            <w:sz w:val="24"/>
            <w:szCs w:val="24"/>
            <w:u w:val="single"/>
            <w:bdr w:val="none" w:sz="0" w:space="0" w:color="auto" w:frame="1"/>
            <w:lang w:eastAsia="uk-UA"/>
          </w:rPr>
          <w:t>ч.1,</w:t>
        </w:r>
        <w:r w:rsidR="00103C16">
          <w:rPr>
            <w:rFonts w:eastAsia="Times New Roman" w:cs="Times New Roman"/>
            <w:sz w:val="24"/>
            <w:szCs w:val="24"/>
            <w:u w:val="single"/>
            <w:bdr w:val="none" w:sz="0" w:space="0" w:color="auto" w:frame="1"/>
            <w:lang w:eastAsia="uk-UA"/>
          </w:rPr>
          <w:t xml:space="preserve"> </w:t>
        </w:r>
      </w:hyperlink>
      <w:hyperlink r:id="rId11" w:history="1">
        <w:r w:rsidRPr="00DA5100">
          <w:rPr>
            <w:rFonts w:eastAsia="Times New Roman" w:cs="Times New Roman"/>
            <w:sz w:val="24"/>
            <w:szCs w:val="24"/>
            <w:u w:val="single"/>
            <w:bdr w:val="none" w:sz="0" w:space="0" w:color="auto" w:frame="1"/>
            <w:lang w:eastAsia="uk-UA"/>
          </w:rPr>
          <w:t>стаття</w:t>
        </w:r>
      </w:hyperlink>
      <w:hyperlink r:id="rId12" w:history="1">
        <w:r w:rsidR="00103C16">
          <w:rPr>
            <w:rFonts w:eastAsia="Times New Roman" w:cs="Times New Roman"/>
            <w:sz w:val="24"/>
            <w:szCs w:val="24"/>
            <w:u w:val="single"/>
            <w:bdr w:val="none" w:sz="0" w:space="0" w:color="auto" w:frame="1"/>
            <w:lang w:eastAsia="uk-UA"/>
          </w:rPr>
          <w:t xml:space="preserve"> </w:t>
        </w:r>
        <w:r w:rsidRPr="00DA5100">
          <w:rPr>
            <w:rFonts w:eastAsia="Times New Roman" w:cs="Times New Roman"/>
            <w:sz w:val="24"/>
            <w:szCs w:val="24"/>
            <w:u w:val="single"/>
            <w:bdr w:val="none" w:sz="0" w:space="0" w:color="auto" w:frame="1"/>
            <w:lang w:eastAsia="uk-UA"/>
          </w:rPr>
          <w:t>100 КК</w:t>
        </w:r>
        <w:r w:rsidR="00103C16">
          <w:rPr>
            <w:rFonts w:eastAsia="Times New Roman" w:cs="Times New Roman"/>
            <w:sz w:val="24"/>
            <w:szCs w:val="24"/>
            <w:u w:val="single"/>
            <w:bdr w:val="none" w:sz="0" w:space="0" w:color="auto" w:frame="1"/>
            <w:lang w:eastAsia="uk-UA"/>
          </w:rPr>
          <w:t xml:space="preserve"> </w:t>
        </w:r>
      </w:hyperlink>
      <w:hyperlink r:id="rId13" w:history="1">
        <w:r w:rsidRPr="00DA5100">
          <w:rPr>
            <w:rFonts w:eastAsia="Times New Roman" w:cs="Times New Roman"/>
            <w:sz w:val="24"/>
            <w:szCs w:val="24"/>
            <w:u w:val="single"/>
            <w:bdr w:val="none" w:sz="0" w:space="0" w:color="auto" w:frame="1"/>
            <w:lang w:eastAsia="uk-UA"/>
          </w:rPr>
          <w:t>України</w:t>
        </w:r>
      </w:hyperlink>
      <w:r w:rsidRPr="00DA5100">
        <w:rPr>
          <w:rFonts w:eastAsia="Times New Roman" w:cs="Times New Roman"/>
          <w:sz w:val="24"/>
          <w:szCs w:val="24"/>
          <w:bdr w:val="none" w:sz="0" w:space="0" w:color="auto" w:frame="1"/>
          <w:lang w:eastAsia="uk-UA"/>
        </w:rPr>
        <w:t>);</w:t>
      </w:r>
    </w:p>
    <w:p w:rsidR="00DA5100" w:rsidRPr="00DA5100" w:rsidRDefault="00103C16" w:rsidP="00DA5100">
      <w:pPr>
        <w:numPr>
          <w:ilvl w:val="0"/>
          <w:numId w:val="6"/>
        </w:numPr>
        <w:shd w:val="clear" w:color="auto" w:fill="FFFFFF"/>
        <w:spacing w:after="0"/>
        <w:ind w:left="993" w:right="225"/>
        <w:jc w:val="both"/>
        <w:rPr>
          <w:rFonts w:ascii="Arial" w:eastAsia="Times New Roman" w:hAnsi="Arial" w:cs="Arial"/>
          <w:sz w:val="24"/>
          <w:szCs w:val="24"/>
          <w:lang w:eastAsia="uk-UA"/>
        </w:rPr>
      </w:pPr>
      <w:hyperlink r:id="rId14" w:history="1">
        <w:r w:rsidR="00DA5100" w:rsidRPr="00DA5100">
          <w:rPr>
            <w:rFonts w:eastAsia="Times New Roman" w:cs="Times New Roman"/>
            <w:sz w:val="24"/>
            <w:szCs w:val="24"/>
            <w:u w:val="single"/>
            <w:bdr w:val="none" w:sz="0" w:space="0" w:color="auto" w:frame="1"/>
            <w:lang w:eastAsia="uk-UA"/>
          </w:rPr>
          <w:t>виправні</w:t>
        </w:r>
        <w:r w:rsidR="00DA5100">
          <w:rPr>
            <w:rFonts w:eastAsia="Times New Roman" w:cs="Times New Roman"/>
            <w:sz w:val="24"/>
            <w:szCs w:val="24"/>
            <w:u w:val="single"/>
            <w:bdr w:val="none" w:sz="0" w:space="0" w:color="auto" w:frame="1"/>
            <w:lang w:eastAsia="uk-UA"/>
          </w:rPr>
          <w:t xml:space="preserve"> </w:t>
        </w:r>
      </w:hyperlink>
      <w:hyperlink r:id="rId15" w:history="1">
        <w:r w:rsidR="00DA5100" w:rsidRPr="00DA5100">
          <w:rPr>
            <w:rFonts w:eastAsia="Times New Roman" w:cs="Times New Roman"/>
            <w:sz w:val="24"/>
            <w:szCs w:val="24"/>
            <w:u w:val="single"/>
            <w:bdr w:val="none" w:sz="0" w:space="0" w:color="auto" w:frame="1"/>
            <w:lang w:eastAsia="uk-UA"/>
          </w:rPr>
          <w:t>роботи</w:t>
        </w:r>
      </w:hyperlink>
      <w:r>
        <w:rPr>
          <w:rFonts w:eastAsia="Times New Roman" w:cs="Times New Roman"/>
          <w:sz w:val="24"/>
          <w:szCs w:val="24"/>
          <w:bdr w:val="none" w:sz="0" w:space="0" w:color="auto" w:frame="1"/>
          <w:lang w:eastAsia="uk-UA"/>
        </w:rPr>
        <w:t xml:space="preserve"> </w:t>
      </w:r>
      <w:r w:rsidR="00DA5100" w:rsidRPr="00DA5100">
        <w:rPr>
          <w:rFonts w:eastAsia="Times New Roman" w:cs="Times New Roman"/>
          <w:sz w:val="24"/>
          <w:szCs w:val="24"/>
          <w:bdr w:val="none" w:sz="0" w:space="0" w:color="auto" w:frame="1"/>
          <w:lang w:eastAsia="uk-UA"/>
        </w:rPr>
        <w:t>– можуть бути призначені неповнолітньому в віці від 16 до 18 років за місцем роботи на строк від двох місяців до одного року. Із заробітку неповнолітнього, засудженого до виправних робіт, здійснюється відрахування в дохід держави в розмірі, встановленому судом, в межах від п’яти до десяти відсотків (</w:t>
      </w:r>
      <w:hyperlink r:id="rId16" w:history="1">
        <w:r w:rsidR="00DA5100" w:rsidRPr="00DA5100">
          <w:rPr>
            <w:rFonts w:eastAsia="Times New Roman" w:cs="Times New Roman"/>
            <w:sz w:val="24"/>
            <w:szCs w:val="24"/>
            <w:u w:val="single"/>
            <w:bdr w:val="none" w:sz="0" w:space="0" w:color="auto" w:frame="1"/>
            <w:lang w:eastAsia="uk-UA"/>
          </w:rPr>
          <w:t>ч.2,</w:t>
        </w:r>
        <w:r>
          <w:rPr>
            <w:rFonts w:eastAsia="Times New Roman" w:cs="Times New Roman"/>
            <w:sz w:val="24"/>
            <w:szCs w:val="24"/>
            <w:u w:val="single"/>
            <w:bdr w:val="none" w:sz="0" w:space="0" w:color="auto" w:frame="1"/>
            <w:lang w:eastAsia="uk-UA"/>
          </w:rPr>
          <w:t xml:space="preserve"> </w:t>
        </w:r>
      </w:hyperlink>
      <w:hyperlink r:id="rId17" w:history="1">
        <w:r w:rsidR="00DA5100" w:rsidRPr="00DA5100">
          <w:rPr>
            <w:rFonts w:eastAsia="Times New Roman" w:cs="Times New Roman"/>
            <w:sz w:val="24"/>
            <w:szCs w:val="24"/>
            <w:u w:val="single"/>
            <w:bdr w:val="none" w:sz="0" w:space="0" w:color="auto" w:frame="1"/>
            <w:lang w:eastAsia="uk-UA"/>
          </w:rPr>
          <w:t>стаття</w:t>
        </w:r>
      </w:hyperlink>
      <w:hyperlink r:id="rId18" w:history="1">
        <w:r>
          <w:rPr>
            <w:rFonts w:eastAsia="Times New Roman" w:cs="Times New Roman"/>
            <w:sz w:val="24"/>
            <w:szCs w:val="24"/>
            <w:u w:val="single"/>
            <w:bdr w:val="none" w:sz="0" w:space="0" w:color="auto" w:frame="1"/>
            <w:lang w:eastAsia="uk-UA"/>
          </w:rPr>
          <w:t xml:space="preserve"> </w:t>
        </w:r>
        <w:r w:rsidR="00DA5100" w:rsidRPr="00DA5100">
          <w:rPr>
            <w:rFonts w:eastAsia="Times New Roman" w:cs="Times New Roman"/>
            <w:sz w:val="24"/>
            <w:szCs w:val="24"/>
            <w:u w:val="single"/>
            <w:bdr w:val="none" w:sz="0" w:space="0" w:color="auto" w:frame="1"/>
            <w:lang w:eastAsia="uk-UA"/>
          </w:rPr>
          <w:t>100 КК</w:t>
        </w:r>
        <w:r>
          <w:rPr>
            <w:rFonts w:eastAsia="Times New Roman" w:cs="Times New Roman"/>
            <w:sz w:val="24"/>
            <w:szCs w:val="24"/>
            <w:u w:val="single"/>
            <w:bdr w:val="none" w:sz="0" w:space="0" w:color="auto" w:frame="1"/>
            <w:lang w:eastAsia="uk-UA"/>
          </w:rPr>
          <w:t xml:space="preserve"> </w:t>
        </w:r>
      </w:hyperlink>
      <w:hyperlink r:id="rId19" w:history="1">
        <w:r w:rsidR="00DA5100" w:rsidRPr="00DA5100">
          <w:rPr>
            <w:rFonts w:eastAsia="Times New Roman" w:cs="Times New Roman"/>
            <w:sz w:val="24"/>
            <w:szCs w:val="24"/>
            <w:u w:val="single"/>
            <w:bdr w:val="none" w:sz="0" w:space="0" w:color="auto" w:frame="1"/>
            <w:lang w:eastAsia="uk-UA"/>
          </w:rPr>
          <w:t>України</w:t>
        </w:r>
      </w:hyperlink>
      <w:r w:rsidR="00DA5100" w:rsidRPr="00DA5100">
        <w:rPr>
          <w:rFonts w:eastAsia="Times New Roman" w:cs="Times New Roman"/>
          <w:sz w:val="24"/>
          <w:szCs w:val="24"/>
          <w:bdr w:val="none" w:sz="0" w:space="0" w:color="auto" w:frame="1"/>
          <w:lang w:eastAsia="uk-UA"/>
        </w:rPr>
        <w:t>);</w:t>
      </w:r>
    </w:p>
    <w:p w:rsidR="00DA5100" w:rsidRPr="00DA5100" w:rsidRDefault="00103C16" w:rsidP="00DA5100">
      <w:pPr>
        <w:numPr>
          <w:ilvl w:val="0"/>
          <w:numId w:val="6"/>
        </w:numPr>
        <w:shd w:val="clear" w:color="auto" w:fill="FFFFFF"/>
        <w:spacing w:after="0"/>
        <w:ind w:left="993" w:right="225"/>
        <w:jc w:val="both"/>
        <w:rPr>
          <w:rFonts w:ascii="Arial" w:eastAsia="Times New Roman" w:hAnsi="Arial" w:cs="Arial"/>
          <w:sz w:val="24"/>
          <w:szCs w:val="24"/>
          <w:lang w:eastAsia="uk-UA"/>
        </w:rPr>
      </w:pPr>
      <w:hyperlink r:id="rId20" w:history="1">
        <w:r w:rsidR="00DA5100" w:rsidRPr="00DA5100">
          <w:rPr>
            <w:rFonts w:eastAsia="Times New Roman" w:cs="Times New Roman"/>
            <w:sz w:val="24"/>
            <w:szCs w:val="24"/>
            <w:u w:val="single"/>
            <w:bdr w:val="none" w:sz="0" w:space="0" w:color="auto" w:frame="1"/>
            <w:lang w:eastAsia="uk-UA"/>
          </w:rPr>
          <w:t>арешт</w:t>
        </w:r>
      </w:hyperlink>
      <w:r>
        <w:rPr>
          <w:rFonts w:eastAsia="Times New Roman" w:cs="Times New Roman"/>
          <w:sz w:val="24"/>
          <w:szCs w:val="24"/>
          <w:bdr w:val="none" w:sz="0" w:space="0" w:color="auto" w:frame="1"/>
          <w:lang w:eastAsia="uk-UA"/>
        </w:rPr>
        <w:t xml:space="preserve"> </w:t>
      </w:r>
      <w:r w:rsidR="00DA5100" w:rsidRPr="00DA5100">
        <w:rPr>
          <w:rFonts w:eastAsia="Times New Roman" w:cs="Times New Roman"/>
          <w:sz w:val="24"/>
          <w:szCs w:val="24"/>
          <w:bdr w:val="none" w:sz="0" w:space="0" w:color="auto" w:frame="1"/>
          <w:lang w:eastAsia="uk-UA"/>
        </w:rPr>
        <w:t>– полягає у триманні неповнолітнього, який на момент постановлення вироку досяг шістнадцяти років, в умовах, ізоляції в спеціально пристосованих установах на строк від п’ятнадцяти до сорока п’яти діб (</w:t>
      </w:r>
      <w:hyperlink r:id="rId21" w:history="1">
        <w:r w:rsidR="00DA5100" w:rsidRPr="00DA5100">
          <w:rPr>
            <w:rFonts w:eastAsia="Times New Roman" w:cs="Times New Roman"/>
            <w:sz w:val="24"/>
            <w:szCs w:val="24"/>
            <w:u w:val="single"/>
            <w:bdr w:val="none" w:sz="0" w:space="0" w:color="auto" w:frame="1"/>
            <w:lang w:eastAsia="uk-UA"/>
          </w:rPr>
          <w:t>стаття</w:t>
        </w:r>
      </w:hyperlink>
      <w:hyperlink r:id="rId22" w:history="1">
        <w:r>
          <w:rPr>
            <w:rFonts w:eastAsia="Times New Roman" w:cs="Times New Roman"/>
            <w:sz w:val="24"/>
            <w:szCs w:val="24"/>
            <w:u w:val="single"/>
            <w:bdr w:val="none" w:sz="0" w:space="0" w:color="auto" w:frame="1"/>
            <w:lang w:eastAsia="uk-UA"/>
          </w:rPr>
          <w:t xml:space="preserve"> </w:t>
        </w:r>
        <w:r w:rsidR="00DA5100" w:rsidRPr="00DA5100">
          <w:rPr>
            <w:rFonts w:eastAsia="Times New Roman" w:cs="Times New Roman"/>
            <w:sz w:val="24"/>
            <w:szCs w:val="24"/>
            <w:u w:val="single"/>
            <w:bdr w:val="none" w:sz="0" w:space="0" w:color="auto" w:frame="1"/>
            <w:lang w:eastAsia="uk-UA"/>
          </w:rPr>
          <w:t>101 КК</w:t>
        </w:r>
        <w:r>
          <w:rPr>
            <w:rFonts w:eastAsia="Times New Roman" w:cs="Times New Roman"/>
            <w:sz w:val="24"/>
            <w:szCs w:val="24"/>
            <w:u w:val="single"/>
            <w:bdr w:val="none" w:sz="0" w:space="0" w:color="auto" w:frame="1"/>
            <w:lang w:eastAsia="uk-UA"/>
          </w:rPr>
          <w:t xml:space="preserve"> </w:t>
        </w:r>
      </w:hyperlink>
      <w:hyperlink r:id="rId23" w:history="1">
        <w:r w:rsidR="00DA5100" w:rsidRPr="00DA5100">
          <w:rPr>
            <w:rFonts w:eastAsia="Times New Roman" w:cs="Times New Roman"/>
            <w:sz w:val="24"/>
            <w:szCs w:val="24"/>
            <w:u w:val="single"/>
            <w:bdr w:val="none" w:sz="0" w:space="0" w:color="auto" w:frame="1"/>
            <w:lang w:eastAsia="uk-UA"/>
          </w:rPr>
          <w:t>України</w:t>
        </w:r>
      </w:hyperlink>
      <w:r w:rsidR="00DA5100" w:rsidRPr="00DA5100">
        <w:rPr>
          <w:rFonts w:eastAsia="Times New Roman" w:cs="Times New Roman"/>
          <w:sz w:val="24"/>
          <w:szCs w:val="24"/>
          <w:bdr w:val="none" w:sz="0" w:space="0" w:color="auto" w:frame="1"/>
          <w:lang w:eastAsia="uk-UA"/>
        </w:rPr>
        <w:t>);</w:t>
      </w:r>
    </w:p>
    <w:p w:rsidR="00DA5100" w:rsidRPr="00DA5100" w:rsidRDefault="00DA5100" w:rsidP="00DA5100">
      <w:pPr>
        <w:numPr>
          <w:ilvl w:val="0"/>
          <w:numId w:val="6"/>
        </w:numPr>
        <w:shd w:val="clear" w:color="auto" w:fill="FFFFFF"/>
        <w:spacing w:after="0"/>
        <w:ind w:left="993" w:right="225"/>
        <w:jc w:val="both"/>
        <w:rPr>
          <w:rFonts w:ascii="Arial" w:eastAsia="Times New Roman" w:hAnsi="Arial" w:cs="Arial"/>
          <w:sz w:val="24"/>
          <w:szCs w:val="24"/>
          <w:lang w:eastAsia="uk-UA"/>
        </w:rPr>
      </w:pPr>
      <w:r w:rsidRPr="00DA5100">
        <w:rPr>
          <w:rFonts w:eastAsia="Times New Roman" w:cs="Times New Roman"/>
          <w:sz w:val="24"/>
          <w:szCs w:val="24"/>
          <w:u w:val="single"/>
          <w:bdr w:val="none" w:sz="0" w:space="0" w:color="auto" w:frame="1"/>
          <w:lang w:eastAsia="uk-UA"/>
        </w:rPr>
        <w:t xml:space="preserve">позбавлення </w:t>
      </w:r>
      <w:hyperlink r:id="rId24" w:history="1">
        <w:r w:rsidRPr="00DA5100">
          <w:rPr>
            <w:rFonts w:eastAsia="Times New Roman" w:cs="Times New Roman"/>
            <w:sz w:val="24"/>
            <w:szCs w:val="24"/>
            <w:u w:val="single"/>
            <w:bdr w:val="none" w:sz="0" w:space="0" w:color="auto" w:frame="1"/>
            <w:lang w:eastAsia="uk-UA"/>
          </w:rPr>
          <w:t>волі</w:t>
        </w:r>
      </w:hyperlink>
      <w:r w:rsidRPr="00DA5100">
        <w:rPr>
          <w:rFonts w:eastAsia="Times New Roman" w:cs="Times New Roman"/>
          <w:sz w:val="24"/>
          <w:szCs w:val="24"/>
          <w:u w:val="single"/>
          <w:bdr w:val="none" w:sz="0" w:space="0" w:color="auto" w:frame="1"/>
          <w:lang w:eastAsia="uk-UA"/>
        </w:rPr>
        <w:t xml:space="preserve"> на </w:t>
      </w:r>
      <w:hyperlink r:id="rId25" w:history="1">
        <w:r w:rsidRPr="00DA5100">
          <w:rPr>
            <w:rFonts w:eastAsia="Times New Roman" w:cs="Times New Roman"/>
            <w:sz w:val="24"/>
            <w:szCs w:val="24"/>
            <w:u w:val="single"/>
            <w:bdr w:val="none" w:sz="0" w:space="0" w:color="auto" w:frame="1"/>
            <w:lang w:eastAsia="uk-UA"/>
          </w:rPr>
          <w:t>певний</w:t>
        </w:r>
      </w:hyperlink>
      <w:hyperlink r:id="rId26" w:history="1"/>
      <w:r w:rsidRPr="00DA5100">
        <w:rPr>
          <w:rFonts w:eastAsia="Times New Roman" w:cs="Times New Roman"/>
          <w:sz w:val="24"/>
          <w:szCs w:val="24"/>
          <w:u w:val="single"/>
          <w:bdr w:val="none" w:sz="0" w:space="0" w:color="auto" w:frame="1"/>
          <w:lang w:eastAsia="uk-UA"/>
        </w:rPr>
        <w:t xml:space="preserve"> </w:t>
      </w:r>
      <w:r>
        <w:rPr>
          <w:rFonts w:eastAsia="Times New Roman" w:cs="Times New Roman"/>
          <w:sz w:val="24"/>
          <w:szCs w:val="24"/>
          <w:bdr w:val="none" w:sz="0" w:space="0" w:color="auto" w:frame="1"/>
          <w:lang w:eastAsia="uk-UA"/>
        </w:rPr>
        <w:t xml:space="preserve">строк </w:t>
      </w:r>
      <w:r w:rsidRPr="00DA5100">
        <w:rPr>
          <w:rFonts w:eastAsia="Times New Roman" w:cs="Times New Roman"/>
          <w:sz w:val="24"/>
          <w:szCs w:val="24"/>
          <w:bdr w:val="none" w:sz="0" w:space="0" w:color="auto" w:frame="1"/>
          <w:lang w:eastAsia="uk-UA"/>
        </w:rPr>
        <w:t>особам, які не досягли до вчинення злочину вісімнадцятирічного віку, не може бути призначене на строк більше десяти років, в за особливо тяжкий злочин, поєднаний з умисним позбавленням життя людини – не більше п’ятнадцяти років. Неповнолітні, засуджені до покарання у виді позбавлення волі, відбувають його у спеціальних виховних установах. Позбавлення волі не може бути призначено неповнолітньому, який вперше вчинив злочин невеликої тяжкості (</w:t>
      </w:r>
      <w:hyperlink r:id="rId27" w:history="1">
        <w:r w:rsidRPr="00DA5100">
          <w:rPr>
            <w:rFonts w:eastAsia="Times New Roman" w:cs="Times New Roman"/>
            <w:sz w:val="24"/>
            <w:szCs w:val="24"/>
            <w:u w:val="single"/>
            <w:bdr w:val="none" w:sz="0" w:space="0" w:color="auto" w:frame="1"/>
            <w:lang w:eastAsia="uk-UA"/>
          </w:rPr>
          <w:t>стаття</w:t>
        </w:r>
      </w:hyperlink>
      <w:hyperlink r:id="rId28" w:history="1">
        <w:r w:rsidR="00103C16">
          <w:rPr>
            <w:rFonts w:eastAsia="Times New Roman" w:cs="Times New Roman"/>
            <w:sz w:val="24"/>
            <w:szCs w:val="24"/>
            <w:u w:val="single"/>
            <w:bdr w:val="none" w:sz="0" w:space="0" w:color="auto" w:frame="1"/>
            <w:lang w:eastAsia="uk-UA"/>
          </w:rPr>
          <w:t xml:space="preserve"> </w:t>
        </w:r>
        <w:r w:rsidRPr="00DA5100">
          <w:rPr>
            <w:rFonts w:eastAsia="Times New Roman" w:cs="Times New Roman"/>
            <w:sz w:val="24"/>
            <w:szCs w:val="24"/>
            <w:u w:val="single"/>
            <w:bdr w:val="none" w:sz="0" w:space="0" w:color="auto" w:frame="1"/>
            <w:lang w:eastAsia="uk-UA"/>
          </w:rPr>
          <w:t>102 КК</w:t>
        </w:r>
        <w:r w:rsidR="00103C16">
          <w:rPr>
            <w:rFonts w:eastAsia="Times New Roman" w:cs="Times New Roman"/>
            <w:sz w:val="24"/>
            <w:szCs w:val="24"/>
            <w:u w:val="single"/>
            <w:bdr w:val="none" w:sz="0" w:space="0" w:color="auto" w:frame="1"/>
            <w:lang w:eastAsia="uk-UA"/>
          </w:rPr>
          <w:t xml:space="preserve"> </w:t>
        </w:r>
      </w:hyperlink>
      <w:hyperlink r:id="rId29" w:history="1">
        <w:r w:rsidRPr="00DA5100">
          <w:rPr>
            <w:rFonts w:eastAsia="Times New Roman" w:cs="Times New Roman"/>
            <w:sz w:val="24"/>
            <w:szCs w:val="24"/>
            <w:u w:val="single"/>
            <w:bdr w:val="none" w:sz="0" w:space="0" w:color="auto" w:frame="1"/>
            <w:lang w:eastAsia="uk-UA"/>
          </w:rPr>
          <w:t>України</w:t>
        </w:r>
      </w:hyperlink>
      <w:r w:rsidRPr="00DA5100">
        <w:rPr>
          <w:rFonts w:eastAsia="Times New Roman" w:cs="Times New Roman"/>
          <w:sz w:val="24"/>
          <w:szCs w:val="24"/>
          <w:bdr w:val="none" w:sz="0" w:space="0" w:color="auto" w:frame="1"/>
          <w:lang w:eastAsia="uk-UA"/>
        </w:rPr>
        <w:t>);</w:t>
      </w:r>
    </w:p>
    <w:p w:rsidR="000373DA" w:rsidRPr="00DA5100" w:rsidRDefault="000373DA" w:rsidP="00DA5100">
      <w:pPr>
        <w:ind w:firstLine="709"/>
        <w:rPr>
          <w:sz w:val="24"/>
          <w:szCs w:val="24"/>
        </w:rPr>
      </w:pPr>
    </w:p>
    <w:sectPr w:rsidR="000373DA" w:rsidRPr="00DA5100" w:rsidSect="00DA51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148"/>
    <w:multiLevelType w:val="multilevel"/>
    <w:tmpl w:val="BA8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86B88"/>
    <w:multiLevelType w:val="multilevel"/>
    <w:tmpl w:val="1CAE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611F26"/>
    <w:multiLevelType w:val="multilevel"/>
    <w:tmpl w:val="6F50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4676D"/>
    <w:multiLevelType w:val="multilevel"/>
    <w:tmpl w:val="0250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D45F1"/>
    <w:multiLevelType w:val="multilevel"/>
    <w:tmpl w:val="D4E8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D3ADB"/>
    <w:multiLevelType w:val="hybridMultilevel"/>
    <w:tmpl w:val="5254E8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00"/>
    <w:rsid w:val="000373DA"/>
    <w:rsid w:val="00103C16"/>
    <w:rsid w:val="00CD6A97"/>
    <w:rsid w:val="00DA5100"/>
    <w:rsid w:val="00DC7035"/>
    <w:rsid w:val="00F23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97"/>
    <w:pPr>
      <w:spacing w:line="240" w:lineRule="auto"/>
    </w:pPr>
    <w:rPr>
      <w:rFonts w:ascii="Times New Roman" w:hAnsi="Times New Roman"/>
      <w:sz w:val="28"/>
    </w:rPr>
  </w:style>
  <w:style w:type="paragraph" w:styleId="1">
    <w:name w:val="heading 1"/>
    <w:basedOn w:val="a"/>
    <w:next w:val="a"/>
    <w:link w:val="10"/>
    <w:uiPriority w:val="9"/>
    <w:qFormat/>
    <w:rsid w:val="00F232BD"/>
    <w:pPr>
      <w:keepNext/>
      <w:keepLines/>
      <w:spacing w:before="480"/>
      <w:jc w:val="center"/>
      <w:outlineLvl w:val="0"/>
    </w:pPr>
    <w:rPr>
      <w:rFonts w:eastAsiaTheme="majorEastAsia" w:cstheme="majorBidi"/>
      <w:b/>
      <w:bCs/>
      <w:caps/>
      <w:szCs w:val="28"/>
    </w:rPr>
  </w:style>
  <w:style w:type="paragraph" w:styleId="2">
    <w:name w:val="heading 2"/>
    <w:basedOn w:val="a"/>
    <w:next w:val="a"/>
    <w:link w:val="20"/>
    <w:uiPriority w:val="9"/>
    <w:semiHidden/>
    <w:unhideWhenUsed/>
    <w:qFormat/>
    <w:rsid w:val="00F232BD"/>
    <w:pPr>
      <w:keepNext/>
      <w:keepLines/>
      <w:spacing w:before="200"/>
      <w:jc w:val="both"/>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BD"/>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semiHidden/>
    <w:rsid w:val="00F232BD"/>
    <w:rPr>
      <w:rFonts w:ascii="Times New Roman" w:eastAsiaTheme="majorEastAsia" w:hAnsi="Times New Roman" w:cstheme="majorBidi"/>
      <w:b/>
      <w:bCs/>
      <w:sz w:val="28"/>
      <w:szCs w:val="26"/>
    </w:rPr>
  </w:style>
  <w:style w:type="paragraph" w:styleId="a3">
    <w:name w:val="Normal (Web)"/>
    <w:basedOn w:val="a"/>
    <w:uiPriority w:val="99"/>
    <w:semiHidden/>
    <w:unhideWhenUsed/>
    <w:rsid w:val="00DA5100"/>
    <w:pPr>
      <w:spacing w:before="100" w:beforeAutospacing="1" w:after="100" w:afterAutospacing="1"/>
    </w:pPr>
    <w:rPr>
      <w:rFonts w:eastAsia="Times New Roman" w:cs="Times New Roman"/>
      <w:sz w:val="24"/>
      <w:szCs w:val="24"/>
      <w:lang w:eastAsia="uk-UA"/>
    </w:rPr>
  </w:style>
  <w:style w:type="character" w:styleId="a4">
    <w:name w:val="Hyperlink"/>
    <w:basedOn w:val="a0"/>
    <w:uiPriority w:val="99"/>
    <w:semiHidden/>
    <w:unhideWhenUsed/>
    <w:rsid w:val="00DA51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97"/>
    <w:pPr>
      <w:spacing w:line="240" w:lineRule="auto"/>
    </w:pPr>
    <w:rPr>
      <w:rFonts w:ascii="Times New Roman" w:hAnsi="Times New Roman"/>
      <w:sz w:val="28"/>
    </w:rPr>
  </w:style>
  <w:style w:type="paragraph" w:styleId="1">
    <w:name w:val="heading 1"/>
    <w:basedOn w:val="a"/>
    <w:next w:val="a"/>
    <w:link w:val="10"/>
    <w:uiPriority w:val="9"/>
    <w:qFormat/>
    <w:rsid w:val="00F232BD"/>
    <w:pPr>
      <w:keepNext/>
      <w:keepLines/>
      <w:spacing w:before="480"/>
      <w:jc w:val="center"/>
      <w:outlineLvl w:val="0"/>
    </w:pPr>
    <w:rPr>
      <w:rFonts w:eastAsiaTheme="majorEastAsia" w:cstheme="majorBidi"/>
      <w:b/>
      <w:bCs/>
      <w:caps/>
      <w:szCs w:val="28"/>
    </w:rPr>
  </w:style>
  <w:style w:type="paragraph" w:styleId="2">
    <w:name w:val="heading 2"/>
    <w:basedOn w:val="a"/>
    <w:next w:val="a"/>
    <w:link w:val="20"/>
    <w:uiPriority w:val="9"/>
    <w:semiHidden/>
    <w:unhideWhenUsed/>
    <w:qFormat/>
    <w:rsid w:val="00F232BD"/>
    <w:pPr>
      <w:keepNext/>
      <w:keepLines/>
      <w:spacing w:before="200"/>
      <w:jc w:val="both"/>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BD"/>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semiHidden/>
    <w:rsid w:val="00F232BD"/>
    <w:rPr>
      <w:rFonts w:ascii="Times New Roman" w:eastAsiaTheme="majorEastAsia" w:hAnsi="Times New Roman" w:cstheme="majorBidi"/>
      <w:b/>
      <w:bCs/>
      <w:sz w:val="28"/>
      <w:szCs w:val="26"/>
    </w:rPr>
  </w:style>
  <w:style w:type="paragraph" w:styleId="a3">
    <w:name w:val="Normal (Web)"/>
    <w:basedOn w:val="a"/>
    <w:uiPriority w:val="99"/>
    <w:semiHidden/>
    <w:unhideWhenUsed/>
    <w:rsid w:val="00DA5100"/>
    <w:pPr>
      <w:spacing w:before="100" w:beforeAutospacing="1" w:after="100" w:afterAutospacing="1"/>
    </w:pPr>
    <w:rPr>
      <w:rFonts w:eastAsia="Times New Roman" w:cs="Times New Roman"/>
      <w:sz w:val="24"/>
      <w:szCs w:val="24"/>
      <w:lang w:eastAsia="uk-UA"/>
    </w:rPr>
  </w:style>
  <w:style w:type="character" w:styleId="a4">
    <w:name w:val="Hyperlink"/>
    <w:basedOn w:val="a0"/>
    <w:uiPriority w:val="99"/>
    <w:semiHidden/>
    <w:unhideWhenUsed/>
    <w:rsid w:val="00DA5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41-14" TargetMode="Externa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341-14" TargetMode="External"/><Relationship Id="rId26" Type="http://schemas.openxmlformats.org/officeDocument/2006/relationships/hyperlink" Target="https://wiki.legalaid.gov.ua/index.php/%D0%9F%D0%BE%D1%80%D1%8F%D0%B4%D0%BE%D0%BA_%D1%96_%D1%83%D0%BC%D0%BE%D0%B2%D0%B8_%D0%BF%D0%BE%D0%BA%D0%B0%D1%80%D0%B0%D0%BD%D0%BD%D1%8F_%D1%83_%D0%B2%D0%B8%D0%B4%D1%96_%D0%BF%D0%BE%D0%B7%D0%B1%D0%B0%D0%B2%D0%BB%D0%B5%D0%BD%D0%BD%D1%8F_%D0%B2%D0%BE%D0%BB%D1%96" TargetMode="External"/><Relationship Id="rId3" Type="http://schemas.microsoft.com/office/2007/relationships/stylesWithEffects" Target="stylesWithEffects.xml"/><Relationship Id="rId21" Type="http://schemas.openxmlformats.org/officeDocument/2006/relationships/hyperlink" Target="https://zakon.rada.gov.ua/laws/show/2341-14" TargetMode="External"/><Relationship Id="rId7" Type="http://schemas.openxmlformats.org/officeDocument/2006/relationships/hyperlink" Target="https://zakon.rada.gov.ua/laws/show/2341-14" TargetMode="Externa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hyperlink" Target="https://wiki.legalaid.gov.ua/index.php/%D0%9F%D0%BE%D1%80%D1%8F%D0%B4%D0%BE%D0%BA_%D1%96_%D1%83%D0%BC%D0%BE%D0%B2%D0%B8_%D0%BF%D0%BE%D0%BA%D0%B0%D1%80%D0%B0%D0%BD%D0%BD%D1%8F_%D1%83_%D0%B2%D0%B8%D0%B4%D1%96_%D0%BF%D0%BE%D0%B7%D0%B1%D0%B0%D0%B2%D0%BB%D0%B5%D0%BD%D0%BD%D1%8F_%D0%B2%D0%BE%D0%BB%D1%96" TargetMode="External"/><Relationship Id="rId2" Type="http://schemas.openxmlformats.org/officeDocument/2006/relationships/styles" Target="styles.xml"/><Relationship Id="rId16" Type="http://schemas.openxmlformats.org/officeDocument/2006/relationships/hyperlink" Target="https://zakon.rada.gov.ua/laws/show/2341-14" TargetMode="External"/><Relationship Id="rId20" Type="http://schemas.openxmlformats.org/officeDocument/2006/relationships/hyperlink" Target="https://wiki.legalaid.gov.ua/index.php/%D0%92%D0%B8%D0%BA%D0%BE%D0%BD%D0%B0%D0%BD%D0%BD%D1%8F_%D0%BF%D0%BE%D0%BA%D0%B0%D1%80%D0%B0%D0%BD%D0%BD%D1%8F_%D1%83_%D0%B2%D0%B8%D0%B4%D1%96_%D0%B0%D1%80%D0%B5%D1%88%D1%82%D1%83" TargetMode="External"/><Relationship Id="rId29" Type="http://schemas.openxmlformats.org/officeDocument/2006/relationships/hyperlink" Target="https://zakon.rada.gov.ua/laws/show/2341-14" TargetMode="External"/><Relationship Id="rId1" Type="http://schemas.openxmlformats.org/officeDocument/2006/relationships/numbering" Target="numbering.xml"/><Relationship Id="rId6" Type="http://schemas.openxmlformats.org/officeDocument/2006/relationships/hyperlink" Target="https://wiki.legalaid.gov.ua/index.php/%D0%92%D0%B8%D0%BA%D0%BE%D0%BD%D0%B0%D0%BD%D0%BD%D1%8F_%D0%BF%D0%BE%D0%BA%D0%B0%D1%80%D0%B0%D0%BD%D0%BD%D1%8F_%D1%83_%D0%B2%D0%B8%D0%B4%D1%96_%D1%88%D1%82%D1%80%D0%B0%D1%84%D1%83_%D0%B2_%D0%BA%D1%80%D0%B8%D0%BC%D1%96%D0%BD%D0%B0%D0%BB%D1%8C%D0%BD%D0%BE%D0%BC%D1%83_%D0%BF%D1%80%D0%BE%D0%B2%D0%B0%D0%B4%D0%B6%D0%B5%D0%BD%D0%BD%D1%96" TargetMode="External"/><Relationship Id="rId11" Type="http://schemas.openxmlformats.org/officeDocument/2006/relationships/hyperlink" Target="https://zakon.rada.gov.ua/laws/show/2341-14" TargetMode="External"/><Relationship Id="rId24" Type="http://schemas.openxmlformats.org/officeDocument/2006/relationships/hyperlink" Target="https://wiki.legalaid.gov.ua/index.php/%D0%9F%D0%BE%D1%80%D1%8F%D0%B4%D0%BE%D0%BA_%D1%96_%D1%83%D0%BC%D0%BE%D0%B2%D0%B8_%D0%BF%D0%BE%D0%BA%D0%B0%D1%80%D0%B0%D0%BD%D0%BD%D1%8F_%D1%83_%D0%B2%D0%B8%D0%B4%D1%96_%D0%BF%D0%BE%D0%B7%D0%B1%D0%B0%D0%B2%D0%BB%D0%B5%D0%BD%D0%BD%D1%8F_%D0%B2%D0%BE%D0%BB%D1%96" TargetMode="External"/><Relationship Id="rId5" Type="http://schemas.openxmlformats.org/officeDocument/2006/relationships/webSettings" Target="webSettings.xml"/><Relationship Id="rId15" Type="http://schemas.openxmlformats.org/officeDocument/2006/relationships/hyperlink" Target="https://wiki.legalaid.gov.ua/index.php/%D0%92%D0%B8%D0%BA%D0%BE%D0%BD%D0%B0%D0%BD%D0%BD%D1%8F_%D0%BF%D0%BE%D0%BA%D0%B0%D1%80%D0%B0%D0%BD%D0%BD%D1%8F_%D1%83_%D0%B2%D0%B8%D0%B4%D1%96_%D0%B2%D0%B8%D0%BF%D1%80%D0%B0%D0%B2%D0%BD%D0%B8%D1%85_%D1%80%D0%BE%D0%B1%D1%96%D1%82" TargetMode="External"/><Relationship Id="rId23" Type="http://schemas.openxmlformats.org/officeDocument/2006/relationships/hyperlink" Target="https://zakon.rada.gov.ua/laws/show/2341-14" TargetMode="External"/><Relationship Id="rId28" Type="http://schemas.openxmlformats.org/officeDocument/2006/relationships/hyperlink" Target="https://zakon.rada.gov.ua/laws/show/2341-14" TargetMode="External"/><Relationship Id="rId10" Type="http://schemas.openxmlformats.org/officeDocument/2006/relationships/hyperlink" Target="https://zakon.rada.gov.ua/laws/show/2341-14" TargetMode="External"/><Relationship Id="rId19" Type="http://schemas.openxmlformats.org/officeDocument/2006/relationships/hyperlink" Target="https://zakon.rada.gov.ua/laws/show/2341-1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341-14" TargetMode="External"/><Relationship Id="rId14" Type="http://schemas.openxmlformats.org/officeDocument/2006/relationships/hyperlink" Target="https://wiki.legalaid.gov.ua/index.php/%D0%92%D0%B8%D0%BA%D0%BE%D0%BD%D0%B0%D0%BD%D0%BD%D1%8F_%D0%BF%D0%BE%D0%BA%D0%B0%D1%80%D0%B0%D0%BD%D0%BD%D1%8F_%D1%83_%D0%B2%D0%B8%D0%B4%D1%96_%D0%B2%D0%B8%D0%BF%D1%80%D0%B0%D0%B2%D0%BD%D0%B8%D1%85_%D1%80%D0%BE%D0%B1%D1%96%D1%82"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2341-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6766</Words>
  <Characters>3858</Characters>
  <Application>Microsoft Office Word</Application>
  <DocSecurity>0</DocSecurity>
  <Lines>32</Lines>
  <Paragraphs>21</Paragraphs>
  <ScaleCrop>false</ScaleCrop>
  <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Адмінчик</dc:creator>
  <cp:lastModifiedBy>Адмінчик</cp:lastModifiedBy>
  <cp:revision>3</cp:revision>
  <dcterms:created xsi:type="dcterms:W3CDTF">2024-12-19T16:59:00Z</dcterms:created>
  <dcterms:modified xsi:type="dcterms:W3CDTF">2024-12-20T10:12:00Z</dcterms:modified>
</cp:coreProperties>
</file>